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FB627" w14:textId="77777777" w:rsidR="00C7379E" w:rsidRDefault="00C7379E">
      <w:pPr>
        <w:widowControl w:val="0"/>
        <w:pBdr>
          <w:top w:val="nil"/>
          <w:left w:val="nil"/>
          <w:bottom w:val="nil"/>
          <w:right w:val="nil"/>
          <w:between w:val="nil"/>
        </w:pBdr>
        <w:spacing w:after="0"/>
      </w:pPr>
    </w:p>
    <w:p w14:paraId="411FB628" w14:textId="77777777" w:rsidR="00C7379E" w:rsidRDefault="00066C93">
      <w:pPr>
        <w:rPr>
          <w:rFonts w:ascii="Arial" w:eastAsia="Arial" w:hAnsi="Arial" w:cs="Arial"/>
          <w:b/>
          <w:sz w:val="36"/>
          <w:szCs w:val="36"/>
        </w:rPr>
      </w:pPr>
      <w:bookmarkStart w:id="0" w:name="_heading=h.gjdgxs" w:colFirst="0" w:colLast="0"/>
      <w:bookmarkEnd w:id="0"/>
      <w:r>
        <w:rPr>
          <w:rFonts w:ascii="Arial" w:eastAsia="Arial" w:hAnsi="Arial" w:cs="Arial"/>
          <w:b/>
          <w:sz w:val="36"/>
          <w:szCs w:val="36"/>
        </w:rPr>
        <w:t>Joint Schedule 12 (Supply Chain Visibility)</w:t>
      </w:r>
    </w:p>
    <w:p w14:paraId="411FB629" w14:textId="77777777" w:rsidR="00C7379E" w:rsidRDefault="00066C93">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 xml:space="preserve">Definitions </w:t>
      </w:r>
    </w:p>
    <w:p w14:paraId="411FB62A" w14:textId="77777777" w:rsidR="00C7379E" w:rsidRDefault="00C7379E">
      <w:pPr>
        <w:pBdr>
          <w:top w:val="nil"/>
          <w:left w:val="nil"/>
          <w:bottom w:val="nil"/>
          <w:right w:val="nil"/>
          <w:between w:val="nil"/>
        </w:pBdr>
        <w:spacing w:after="0"/>
        <w:ind w:left="720"/>
        <w:rPr>
          <w:rFonts w:ascii="Arial" w:eastAsia="Arial" w:hAnsi="Arial" w:cs="Arial"/>
          <w:b/>
          <w:color w:val="000000"/>
          <w:sz w:val="24"/>
          <w:szCs w:val="24"/>
        </w:rPr>
      </w:pPr>
    </w:p>
    <w:p w14:paraId="411FB62B" w14:textId="77777777" w:rsidR="00C7379E" w:rsidRDefault="00066C93">
      <w:pPr>
        <w:pBdr>
          <w:top w:val="nil"/>
          <w:left w:val="nil"/>
          <w:bottom w:val="nil"/>
          <w:right w:val="nil"/>
          <w:between w:val="nil"/>
        </w:pBdr>
        <w:ind w:left="720" w:hanging="436"/>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b/>
          <w:color w:val="000000"/>
          <w:sz w:val="24"/>
          <w:szCs w:val="24"/>
        </w:rPr>
        <w:t xml:space="preserve"> </w:t>
      </w:r>
      <w:r>
        <w:rPr>
          <w:rFonts w:ascii="Arial" w:eastAsia="Arial" w:hAnsi="Arial" w:cs="Arial"/>
          <w:color w:val="000000"/>
          <w:sz w:val="24"/>
          <w:szCs w:val="24"/>
        </w:rPr>
        <w:t xml:space="preserve">In this Schedule, the following words shall have the following </w:t>
      </w:r>
      <w:proofErr w:type="gramStart"/>
      <w:r>
        <w:rPr>
          <w:rFonts w:ascii="Arial" w:eastAsia="Arial" w:hAnsi="Arial" w:cs="Arial"/>
          <w:color w:val="000000"/>
          <w:sz w:val="24"/>
          <w:szCs w:val="24"/>
        </w:rPr>
        <w:t>meanings</w:t>
      </w:r>
      <w:proofErr w:type="gramEnd"/>
      <w:r>
        <w:rPr>
          <w:rFonts w:ascii="Arial" w:eastAsia="Arial" w:hAnsi="Arial" w:cs="Arial"/>
          <w:color w:val="000000"/>
          <w:sz w:val="24"/>
          <w:szCs w:val="24"/>
        </w:rPr>
        <w:t xml:space="preserve"> and they shall supplement Joint Schedule 1 (Definitions):</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C7379E" w14:paraId="411FB62E" w14:textId="77777777">
        <w:trPr>
          <w:trHeight w:val="20"/>
        </w:trPr>
        <w:tc>
          <w:tcPr>
            <w:tcW w:w="3342" w:type="dxa"/>
          </w:tcPr>
          <w:p w14:paraId="411FB62C" w14:textId="77777777" w:rsidR="00C7379E" w:rsidRDefault="00066C93">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"Contracts Finder"</w:t>
            </w:r>
          </w:p>
        </w:tc>
        <w:tc>
          <w:tcPr>
            <w:tcW w:w="4856" w:type="dxa"/>
          </w:tcPr>
          <w:p w14:paraId="411FB62D" w14:textId="77777777" w:rsidR="00C7379E" w:rsidRDefault="00066C93">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the Government’s publishing portal for public sector procurement opportunities; </w:t>
            </w:r>
          </w:p>
        </w:tc>
      </w:tr>
      <w:tr w:rsidR="00C7379E" w14:paraId="411FB631" w14:textId="77777777">
        <w:trPr>
          <w:trHeight w:val="20"/>
        </w:trPr>
        <w:tc>
          <w:tcPr>
            <w:tcW w:w="3342" w:type="dxa"/>
          </w:tcPr>
          <w:p w14:paraId="411FB62F" w14:textId="77777777" w:rsidR="00C7379E" w:rsidRDefault="00066C93">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"SME"</w:t>
            </w:r>
          </w:p>
        </w:tc>
        <w:tc>
          <w:tcPr>
            <w:tcW w:w="4856" w:type="dxa"/>
          </w:tcPr>
          <w:p w14:paraId="411FB630" w14:textId="77777777" w:rsidR="00C7379E" w:rsidRDefault="00066C93">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an enterprise falling within the category of micro, small and medium sized enterprises defined by the Commission Recommendation of 6 May 2003 concerning the definition of micro, small and medium sized </w:t>
            </w:r>
            <w:proofErr w:type="gramStart"/>
            <w:r>
              <w:rPr>
                <w:rFonts w:ascii="Arial" w:eastAsia="Arial" w:hAnsi="Arial" w:cs="Arial"/>
                <w:color w:val="000000"/>
                <w:sz w:val="24"/>
                <w:szCs w:val="24"/>
              </w:rPr>
              <w:t>enterprises;</w:t>
            </w:r>
            <w:proofErr w:type="gramEnd"/>
            <w:r>
              <w:rPr>
                <w:rFonts w:ascii="Arial" w:eastAsia="Arial" w:hAnsi="Arial" w:cs="Arial"/>
                <w:color w:val="000000"/>
                <w:sz w:val="24"/>
                <w:szCs w:val="24"/>
              </w:rPr>
              <w:t xml:space="preserve"> </w:t>
            </w:r>
          </w:p>
        </w:tc>
      </w:tr>
      <w:tr w:rsidR="00C7379E" w14:paraId="411FB634" w14:textId="77777777">
        <w:trPr>
          <w:trHeight w:val="20"/>
        </w:trPr>
        <w:tc>
          <w:tcPr>
            <w:tcW w:w="3342" w:type="dxa"/>
          </w:tcPr>
          <w:p w14:paraId="411FB632" w14:textId="77777777" w:rsidR="00C7379E" w:rsidRDefault="00066C93">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4856" w:type="dxa"/>
          </w:tcPr>
          <w:p w14:paraId="411FB633" w14:textId="77777777" w:rsidR="00C7379E" w:rsidRDefault="00066C93">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document at Annex 1 of this Schedule 12; and</w:t>
            </w:r>
          </w:p>
        </w:tc>
      </w:tr>
      <w:tr w:rsidR="00C7379E" w14:paraId="411FB637" w14:textId="77777777">
        <w:trPr>
          <w:trHeight w:val="20"/>
        </w:trPr>
        <w:tc>
          <w:tcPr>
            <w:tcW w:w="3342" w:type="dxa"/>
          </w:tcPr>
          <w:p w14:paraId="411FB635" w14:textId="77777777" w:rsidR="00C7379E" w:rsidRDefault="00066C93">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"VCSE"</w:t>
            </w:r>
          </w:p>
        </w:tc>
        <w:tc>
          <w:tcPr>
            <w:tcW w:w="4856" w:type="dxa"/>
          </w:tcPr>
          <w:p w14:paraId="411FB636" w14:textId="77777777" w:rsidR="00C7379E" w:rsidRDefault="00066C93">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C7379E" w14:paraId="411FB63A" w14:textId="77777777">
        <w:trPr>
          <w:trHeight w:val="20"/>
        </w:trPr>
        <w:tc>
          <w:tcPr>
            <w:tcW w:w="3342" w:type="dxa"/>
          </w:tcPr>
          <w:p w14:paraId="411FB638" w14:textId="77777777" w:rsidR="00C7379E" w:rsidRDefault="00C7379E">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p>
        </w:tc>
        <w:tc>
          <w:tcPr>
            <w:tcW w:w="4856" w:type="dxa"/>
          </w:tcPr>
          <w:p w14:paraId="411FB639" w14:textId="77777777" w:rsidR="00C7379E" w:rsidRDefault="00C7379E">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p>
        </w:tc>
      </w:tr>
    </w:tbl>
    <w:p w14:paraId="411FB63B" w14:textId="77777777" w:rsidR="00C7379E" w:rsidRDefault="00066C93">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 xml:space="preserve">Visibility of Sub-Contract Opportunities in the Supply Chain </w:t>
      </w:r>
    </w:p>
    <w:p w14:paraId="411FB63C" w14:textId="77777777" w:rsidR="00C7379E" w:rsidRDefault="00C7379E">
      <w:pPr>
        <w:pBdr>
          <w:top w:val="nil"/>
          <w:left w:val="nil"/>
          <w:bottom w:val="nil"/>
          <w:right w:val="nil"/>
          <w:between w:val="nil"/>
        </w:pBdr>
        <w:spacing w:after="0"/>
        <w:ind w:left="720"/>
        <w:rPr>
          <w:rFonts w:ascii="Arial" w:eastAsia="Arial" w:hAnsi="Arial" w:cs="Arial"/>
          <w:b/>
          <w:color w:val="000000"/>
          <w:sz w:val="24"/>
          <w:szCs w:val="24"/>
        </w:rPr>
      </w:pPr>
    </w:p>
    <w:p w14:paraId="411FB63D" w14:textId="77777777" w:rsidR="00C7379E" w:rsidRDefault="00066C93">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 The Supplier shall:</w:t>
      </w:r>
    </w:p>
    <w:p w14:paraId="411FB63E" w14:textId="77777777" w:rsidR="00C7379E" w:rsidRDefault="00C7379E">
      <w:pPr>
        <w:pBdr>
          <w:top w:val="nil"/>
          <w:left w:val="nil"/>
          <w:bottom w:val="nil"/>
          <w:right w:val="nil"/>
          <w:between w:val="nil"/>
        </w:pBdr>
        <w:spacing w:after="0"/>
        <w:ind w:left="720"/>
        <w:rPr>
          <w:rFonts w:ascii="Arial" w:eastAsia="Arial" w:hAnsi="Arial" w:cs="Arial"/>
          <w:color w:val="000000"/>
          <w:sz w:val="24"/>
          <w:szCs w:val="24"/>
        </w:rPr>
      </w:pPr>
    </w:p>
    <w:p w14:paraId="411FB63F" w14:textId="77777777" w:rsidR="00C7379E" w:rsidRDefault="00066C93">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subject to Paragraph 2.3, advertise on Contracts Finder all Sub-Contract opportunities arising from or in connection with the provision of the Deliverables above a minimum threshold of £25,000 that arise during the Contract </w:t>
      </w:r>
      <w:proofErr w:type="gramStart"/>
      <w:r>
        <w:rPr>
          <w:rFonts w:ascii="Arial" w:eastAsia="Arial" w:hAnsi="Arial" w:cs="Arial"/>
          <w:color w:val="000000"/>
          <w:sz w:val="24"/>
          <w:szCs w:val="24"/>
        </w:rPr>
        <w:t>Period;</w:t>
      </w:r>
      <w:proofErr w:type="gramEnd"/>
    </w:p>
    <w:p w14:paraId="411FB640" w14:textId="77777777" w:rsidR="00C7379E" w:rsidRDefault="00066C93">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within 90 days of awarding a Sub-Contract to a Subcontractor, update the notice on Contract Finder with details of the successful </w:t>
      </w:r>
      <w:proofErr w:type="gramStart"/>
      <w:r>
        <w:rPr>
          <w:rFonts w:ascii="Arial" w:eastAsia="Arial" w:hAnsi="Arial" w:cs="Arial"/>
          <w:color w:val="000000"/>
          <w:sz w:val="24"/>
          <w:szCs w:val="24"/>
        </w:rPr>
        <w:t>Subcontractor;</w:t>
      </w:r>
      <w:proofErr w:type="gramEnd"/>
      <w:r>
        <w:rPr>
          <w:rFonts w:ascii="Arial" w:eastAsia="Arial" w:hAnsi="Arial" w:cs="Arial"/>
          <w:color w:val="000000"/>
          <w:sz w:val="24"/>
          <w:szCs w:val="24"/>
        </w:rPr>
        <w:t xml:space="preserve"> </w:t>
      </w:r>
    </w:p>
    <w:p w14:paraId="411FB641" w14:textId="77777777" w:rsidR="00C7379E" w:rsidRDefault="00066C93">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monitor the number, type and value of the Sub-Contract opportunities placed on Contracts Finder advertised and awarded in its supply chain during the Contract </w:t>
      </w:r>
      <w:proofErr w:type="gramStart"/>
      <w:r>
        <w:rPr>
          <w:rFonts w:ascii="Arial" w:eastAsia="Arial" w:hAnsi="Arial" w:cs="Arial"/>
          <w:color w:val="000000"/>
          <w:sz w:val="24"/>
          <w:szCs w:val="24"/>
        </w:rPr>
        <w:t>Period;</w:t>
      </w:r>
      <w:proofErr w:type="gramEnd"/>
      <w:r>
        <w:rPr>
          <w:rFonts w:ascii="Arial" w:eastAsia="Arial" w:hAnsi="Arial" w:cs="Arial"/>
          <w:color w:val="000000"/>
          <w:sz w:val="24"/>
          <w:szCs w:val="24"/>
        </w:rPr>
        <w:t xml:space="preserve"> </w:t>
      </w:r>
    </w:p>
    <w:p w14:paraId="411FB642" w14:textId="77777777" w:rsidR="00C7379E" w:rsidRDefault="00066C93">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provide reports on the information at Paragraph 2.1.3 to the Relevant Authority in the format and frequency as reasonably specified by the Relevant Authority; and </w:t>
      </w:r>
    </w:p>
    <w:p w14:paraId="411FB643" w14:textId="77777777" w:rsidR="00C7379E" w:rsidRDefault="00066C93">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promote Contracts Finder to its suppliers and encourage those organisations to register on Contracts Finder. </w:t>
      </w:r>
    </w:p>
    <w:p w14:paraId="411FB644" w14:textId="77777777" w:rsidR="00C7379E" w:rsidRDefault="00C7379E">
      <w:pPr>
        <w:pBdr>
          <w:top w:val="nil"/>
          <w:left w:val="nil"/>
          <w:bottom w:val="nil"/>
          <w:right w:val="nil"/>
          <w:between w:val="nil"/>
        </w:pBdr>
        <w:spacing w:after="0"/>
        <w:ind w:left="1080"/>
        <w:rPr>
          <w:rFonts w:ascii="Arial" w:eastAsia="Arial" w:hAnsi="Arial" w:cs="Arial"/>
          <w:color w:val="000000"/>
          <w:sz w:val="24"/>
          <w:szCs w:val="24"/>
        </w:rPr>
      </w:pPr>
    </w:p>
    <w:p w14:paraId="411FB645" w14:textId="77777777" w:rsidR="00C7379E" w:rsidRDefault="00C7379E">
      <w:pPr>
        <w:pBdr>
          <w:top w:val="nil"/>
          <w:left w:val="nil"/>
          <w:bottom w:val="nil"/>
          <w:right w:val="nil"/>
          <w:between w:val="nil"/>
        </w:pBdr>
        <w:spacing w:after="0"/>
        <w:ind w:left="1080"/>
        <w:rPr>
          <w:rFonts w:ascii="Arial" w:eastAsia="Arial" w:hAnsi="Arial" w:cs="Arial"/>
          <w:color w:val="000000"/>
          <w:sz w:val="24"/>
          <w:szCs w:val="24"/>
        </w:rPr>
      </w:pPr>
    </w:p>
    <w:p w14:paraId="411FB646" w14:textId="77777777" w:rsidR="00C7379E" w:rsidRDefault="00066C93">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Each advert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2.1.1 of this Schedule 12 shall provide a full and detailed description of the Sub-Contract opportunity with each of the mandatory fields being completed on Contracts Finder by the Supplier. </w:t>
      </w:r>
    </w:p>
    <w:p w14:paraId="411FB647" w14:textId="77777777" w:rsidR="00C7379E" w:rsidRDefault="00C7379E">
      <w:pPr>
        <w:pBdr>
          <w:top w:val="nil"/>
          <w:left w:val="nil"/>
          <w:bottom w:val="nil"/>
          <w:right w:val="nil"/>
          <w:between w:val="nil"/>
        </w:pBdr>
        <w:spacing w:after="0"/>
        <w:ind w:left="993" w:hanging="633"/>
        <w:rPr>
          <w:rFonts w:ascii="Arial" w:eastAsia="Arial" w:hAnsi="Arial" w:cs="Arial"/>
          <w:color w:val="000000"/>
          <w:sz w:val="24"/>
          <w:szCs w:val="24"/>
        </w:rPr>
      </w:pPr>
    </w:p>
    <w:p w14:paraId="411FB648" w14:textId="77777777" w:rsidR="00C7379E" w:rsidRDefault="00066C93">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The obligation on the Supplier set out at Paragraph 2.1 shall only apply in respect of Sub-Contract opportunities arising after the Effective Date.</w:t>
      </w:r>
    </w:p>
    <w:p w14:paraId="411FB649" w14:textId="77777777" w:rsidR="00C7379E" w:rsidRDefault="00C7379E">
      <w:pPr>
        <w:pBdr>
          <w:top w:val="nil"/>
          <w:left w:val="nil"/>
          <w:bottom w:val="nil"/>
          <w:right w:val="nil"/>
          <w:between w:val="nil"/>
        </w:pBdr>
        <w:spacing w:after="0"/>
        <w:ind w:left="993" w:hanging="633"/>
        <w:rPr>
          <w:rFonts w:ascii="Arial" w:eastAsia="Arial" w:hAnsi="Arial" w:cs="Arial"/>
          <w:color w:val="000000"/>
          <w:sz w:val="24"/>
          <w:szCs w:val="24"/>
        </w:rPr>
      </w:pPr>
    </w:p>
    <w:p w14:paraId="411FB64A" w14:textId="77777777" w:rsidR="00C7379E" w:rsidRDefault="00066C93">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Notwithstanding Paragraph 2.1, the Authority may by giving its prior Approval, agree that a Sub-Contract opportunity is not required to be advertised by the Supplier on Contracts Finder.  </w:t>
      </w:r>
    </w:p>
    <w:p w14:paraId="411FB64B" w14:textId="77777777" w:rsidR="00C7379E" w:rsidRDefault="00C7379E">
      <w:pPr>
        <w:pBdr>
          <w:top w:val="nil"/>
          <w:left w:val="nil"/>
          <w:bottom w:val="nil"/>
          <w:right w:val="nil"/>
          <w:between w:val="nil"/>
        </w:pBdr>
        <w:spacing w:after="0"/>
        <w:ind w:left="720"/>
        <w:rPr>
          <w:rFonts w:ascii="Arial" w:eastAsia="Arial" w:hAnsi="Arial" w:cs="Arial"/>
          <w:color w:val="000000"/>
          <w:sz w:val="24"/>
          <w:szCs w:val="24"/>
        </w:rPr>
      </w:pPr>
    </w:p>
    <w:p w14:paraId="411FB64C" w14:textId="77777777" w:rsidR="00C7379E" w:rsidRDefault="00066C93">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Visibility of Supply Chain Spend</w:t>
      </w:r>
    </w:p>
    <w:p w14:paraId="411FB64D" w14:textId="77777777" w:rsidR="00C7379E" w:rsidRDefault="00C7379E">
      <w:pPr>
        <w:pBdr>
          <w:top w:val="nil"/>
          <w:left w:val="nil"/>
          <w:bottom w:val="nil"/>
          <w:right w:val="nil"/>
          <w:between w:val="nil"/>
        </w:pBdr>
        <w:spacing w:after="0"/>
        <w:ind w:left="720"/>
        <w:rPr>
          <w:rFonts w:ascii="Arial" w:eastAsia="Arial" w:hAnsi="Arial" w:cs="Arial"/>
          <w:b/>
          <w:color w:val="000000"/>
          <w:sz w:val="24"/>
          <w:szCs w:val="24"/>
        </w:rPr>
      </w:pPr>
    </w:p>
    <w:p w14:paraId="411FB64E" w14:textId="77777777" w:rsidR="00C7379E" w:rsidRDefault="00066C93">
      <w:pPr>
        <w:numPr>
          <w:ilvl w:val="1"/>
          <w:numId w:val="2"/>
        </w:numPr>
        <w:pBdr>
          <w:top w:val="nil"/>
          <w:left w:val="nil"/>
          <w:bottom w:val="nil"/>
          <w:right w:val="nil"/>
          <w:between w:val="nil"/>
        </w:pBdr>
        <w:ind w:left="993" w:hanging="567"/>
        <w:rPr>
          <w:rFonts w:ascii="Arial" w:eastAsia="Arial" w:hAnsi="Arial" w:cs="Arial"/>
          <w:color w:val="000000"/>
          <w:sz w:val="24"/>
          <w:szCs w:val="24"/>
        </w:rPr>
      </w:pPr>
      <w:r>
        <w:rPr>
          <w:rFonts w:ascii="Arial" w:eastAsia="Arial" w:hAnsi="Arial" w:cs="Arial"/>
          <w:color w:val="000000"/>
          <w:sz w:val="24"/>
          <w:szCs w:val="24"/>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14:paraId="411FB64F" w14:textId="77777777" w:rsidR="00C7379E" w:rsidRDefault="00066C93">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 xml:space="preserve">the total contract revenue received directly on the </w:t>
      </w:r>
      <w:proofErr w:type="gramStart"/>
      <w:r>
        <w:rPr>
          <w:rFonts w:ascii="Arial" w:eastAsia="Arial" w:hAnsi="Arial" w:cs="Arial"/>
          <w:color w:val="000000"/>
          <w:sz w:val="24"/>
          <w:szCs w:val="24"/>
        </w:rPr>
        <w:t>Contract;</w:t>
      </w:r>
      <w:proofErr w:type="gramEnd"/>
    </w:p>
    <w:p w14:paraId="411FB650" w14:textId="77777777" w:rsidR="00C7379E" w:rsidRDefault="00066C93">
      <w:pPr>
        <w:numPr>
          <w:ilvl w:val="0"/>
          <w:numId w:val="1"/>
        </w:numPr>
        <w:pBdr>
          <w:top w:val="nil"/>
          <w:left w:val="nil"/>
          <w:bottom w:val="nil"/>
          <w:right w:val="nil"/>
          <w:between w:val="nil"/>
        </w:pBdr>
        <w:spacing w:after="0" w:line="360" w:lineRule="auto"/>
        <w:rPr>
          <w:rFonts w:ascii="Arial" w:eastAsia="Arial" w:hAnsi="Arial" w:cs="Arial"/>
          <w:color w:val="000000"/>
          <w:sz w:val="24"/>
          <w:szCs w:val="24"/>
        </w:rPr>
      </w:pPr>
      <w:r>
        <w:rPr>
          <w:rFonts w:ascii="Arial" w:eastAsia="Arial" w:hAnsi="Arial" w:cs="Arial"/>
          <w:color w:val="000000"/>
          <w:sz w:val="24"/>
          <w:szCs w:val="24"/>
        </w:rPr>
        <w:t>the total value of sub-contracted revenues under the Contract (including revenues for non-SMEs/non-VCSEs); and</w:t>
      </w:r>
    </w:p>
    <w:p w14:paraId="411FB651" w14:textId="77777777" w:rsidR="00C7379E" w:rsidRDefault="00066C93">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the total value of sub-contracted revenues to SMEs and VCSEs.</w:t>
      </w:r>
    </w:p>
    <w:p w14:paraId="411FB652" w14:textId="77777777" w:rsidR="00C7379E" w:rsidRDefault="00C7379E">
      <w:pPr>
        <w:pBdr>
          <w:top w:val="nil"/>
          <w:left w:val="nil"/>
          <w:bottom w:val="nil"/>
          <w:right w:val="nil"/>
          <w:between w:val="nil"/>
        </w:pBdr>
        <w:spacing w:after="0" w:line="360" w:lineRule="auto"/>
        <w:jc w:val="both"/>
        <w:rPr>
          <w:rFonts w:ascii="Arial" w:eastAsia="Arial" w:hAnsi="Arial" w:cs="Arial"/>
          <w:color w:val="000000"/>
          <w:sz w:val="24"/>
          <w:szCs w:val="24"/>
        </w:rPr>
      </w:pPr>
    </w:p>
    <w:p w14:paraId="411FB653" w14:textId="77777777" w:rsidR="00C7379E" w:rsidRDefault="00066C93">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14:paraId="411FB654" w14:textId="77777777" w:rsidR="00C7379E" w:rsidRDefault="00C7379E">
      <w:pPr>
        <w:pBdr>
          <w:top w:val="nil"/>
          <w:left w:val="nil"/>
          <w:bottom w:val="nil"/>
          <w:right w:val="nil"/>
          <w:between w:val="nil"/>
        </w:pBdr>
        <w:spacing w:after="0"/>
        <w:ind w:left="720"/>
        <w:rPr>
          <w:rFonts w:ascii="Arial" w:eastAsia="Arial" w:hAnsi="Arial" w:cs="Arial"/>
          <w:color w:val="000000"/>
          <w:sz w:val="24"/>
          <w:szCs w:val="24"/>
        </w:rPr>
      </w:pPr>
    </w:p>
    <w:p w14:paraId="411FB655" w14:textId="77777777" w:rsidR="00C7379E" w:rsidRDefault="00066C93">
      <w:pPr>
        <w:numPr>
          <w:ilvl w:val="1"/>
          <w:numId w:val="2"/>
        </w:numPr>
        <w:pBdr>
          <w:top w:val="nil"/>
          <w:left w:val="nil"/>
          <w:bottom w:val="nil"/>
          <w:right w:val="nil"/>
          <w:between w:val="nil"/>
        </w:pBdr>
        <w:ind w:left="993" w:hanging="567"/>
        <w:rPr>
          <w:rFonts w:ascii="Arial" w:eastAsia="Arial" w:hAnsi="Arial" w:cs="Arial"/>
          <w:color w:val="000000"/>
          <w:sz w:val="24"/>
          <w:szCs w:val="24"/>
        </w:rPr>
      </w:pPr>
      <w:r>
        <w:rPr>
          <w:rFonts w:ascii="Arial" w:eastAsia="Arial" w:hAnsi="Arial" w:cs="Arial"/>
          <w:color w:val="000000"/>
          <w:sz w:val="24"/>
          <w:szCs w:val="24"/>
        </w:rPr>
        <w:t xml:space="preserve">The Supplier further agrees and acknowledges that it may not make any amendment to the Supply Chain Information Report Template without the prior Approval of the Authority.  </w:t>
      </w:r>
    </w:p>
    <w:p w14:paraId="411FB656" w14:textId="77777777" w:rsidR="00C7379E" w:rsidRDefault="00C7379E">
      <w:pPr>
        <w:rPr>
          <w:rFonts w:ascii="Arial" w:eastAsia="Arial" w:hAnsi="Arial" w:cs="Arial"/>
          <w:sz w:val="24"/>
          <w:szCs w:val="24"/>
        </w:rPr>
      </w:pPr>
    </w:p>
    <w:p w14:paraId="411FB657" w14:textId="77777777" w:rsidR="00C7379E" w:rsidRDefault="00066C93">
      <w:pPr>
        <w:ind w:left="360"/>
        <w:jc w:val="center"/>
        <w:rPr>
          <w:rFonts w:ascii="Arial" w:eastAsia="Arial" w:hAnsi="Arial" w:cs="Arial"/>
          <w:b/>
          <w:sz w:val="24"/>
          <w:szCs w:val="24"/>
        </w:rPr>
      </w:pPr>
      <w:r>
        <w:rPr>
          <w:rFonts w:ascii="Arial" w:eastAsia="Arial" w:hAnsi="Arial" w:cs="Arial"/>
          <w:b/>
          <w:sz w:val="24"/>
          <w:szCs w:val="24"/>
        </w:rPr>
        <w:t>Annex 1</w:t>
      </w:r>
    </w:p>
    <w:p w14:paraId="411FB658" w14:textId="77777777" w:rsidR="00C7379E" w:rsidRDefault="00066C93">
      <w:pPr>
        <w:ind w:left="360"/>
        <w:jc w:val="center"/>
        <w:rPr>
          <w:rFonts w:ascii="Arial" w:eastAsia="Arial" w:hAnsi="Arial" w:cs="Arial"/>
          <w:b/>
          <w:sz w:val="24"/>
          <w:szCs w:val="24"/>
        </w:rPr>
      </w:pPr>
      <w:r>
        <w:rPr>
          <w:rFonts w:ascii="Arial" w:eastAsia="Arial" w:hAnsi="Arial" w:cs="Arial"/>
          <w:b/>
          <w:sz w:val="24"/>
          <w:szCs w:val="24"/>
        </w:rPr>
        <w:t>Supply Chain Information Report template</w:t>
      </w:r>
    </w:p>
    <w:p w14:paraId="411FB659" w14:textId="77777777" w:rsidR="00C7379E" w:rsidRDefault="00C7379E">
      <w:pPr>
        <w:rPr>
          <w:rFonts w:ascii="Arial" w:eastAsia="Arial" w:hAnsi="Arial" w:cs="Arial"/>
          <w:sz w:val="24"/>
          <w:szCs w:val="24"/>
        </w:rPr>
      </w:pPr>
    </w:p>
    <w:p w14:paraId="411FB65A" w14:textId="77777777" w:rsidR="00C7379E" w:rsidRDefault="00C7379E"/>
    <w:p w14:paraId="411FB65B" w14:textId="77777777" w:rsidR="00C7379E" w:rsidRDefault="00066C93">
      <w:pPr>
        <w:rPr>
          <w:rFonts w:ascii="Arial" w:eastAsia="Arial" w:hAnsi="Arial" w:cs="Arial"/>
          <w:sz w:val="24"/>
          <w:szCs w:val="24"/>
        </w:rPr>
      </w:pPr>
      <w:r>
        <w:rPr>
          <w:rFonts w:ascii="Arial" w:eastAsia="Arial" w:hAnsi="Arial" w:cs="Arial"/>
          <w:sz w:val="24"/>
          <w:szCs w:val="24"/>
        </w:rPr>
        <w:object w:dxaOrig="2328" w:dyaOrig="1128" w14:anchorId="411FB6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5pt;height:56.5pt" o:ole="">
            <v:imagedata r:id="rId8" o:title=""/>
          </v:shape>
          <o:OLEObject Type="Embed" ProgID="Excel.Sheet.12" ShapeID="_x0000_i1025" DrawAspect="Icon" ObjectID="_1810702915" r:id="rId9"/>
        </w:object>
      </w:r>
    </w:p>
    <w:p w14:paraId="411FB65C" w14:textId="77777777" w:rsidR="00C7379E" w:rsidRDefault="00C7379E">
      <w:pPr>
        <w:rPr>
          <w:rFonts w:ascii="Arial" w:eastAsia="Arial" w:hAnsi="Arial" w:cs="Arial"/>
          <w:sz w:val="24"/>
          <w:szCs w:val="24"/>
        </w:rPr>
      </w:pPr>
    </w:p>
    <w:p w14:paraId="411FB65D" w14:textId="77777777" w:rsidR="00C7379E" w:rsidRDefault="00C7379E">
      <w:pPr>
        <w:rPr>
          <w:rFonts w:ascii="Arial" w:eastAsia="Arial" w:hAnsi="Arial" w:cs="Arial"/>
          <w:sz w:val="24"/>
          <w:szCs w:val="24"/>
        </w:rPr>
      </w:pPr>
    </w:p>
    <w:sectPr w:rsidR="00C7379E">
      <w:headerReference w:type="default" r:id="rId10"/>
      <w:footerReference w:type="default" r:id="rId11"/>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FB661" w14:textId="77777777" w:rsidR="00066C93" w:rsidRDefault="00066C93">
      <w:pPr>
        <w:spacing w:after="0" w:line="240" w:lineRule="auto"/>
      </w:pPr>
      <w:r>
        <w:separator/>
      </w:r>
    </w:p>
  </w:endnote>
  <w:endnote w:type="continuationSeparator" w:id="0">
    <w:p w14:paraId="411FB662" w14:textId="77777777" w:rsidR="00066C93" w:rsidRDefault="00066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FB666" w14:textId="77777777" w:rsidR="00C7379E" w:rsidRDefault="00066C93">
    <w:pPr>
      <w:pBdr>
        <w:top w:val="nil"/>
        <w:left w:val="nil"/>
        <w:bottom w:val="nil"/>
        <w:right w:val="nil"/>
        <w:between w:val="nil"/>
      </w:pBdr>
      <w:tabs>
        <w:tab w:val="center" w:pos="4513"/>
        <w:tab w:val="right" w:pos="9026"/>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867946">
      <w:rPr>
        <w:noProof/>
        <w:color w:val="000000"/>
      </w:rPr>
      <w:t>3</w:t>
    </w:r>
    <w:r>
      <w:rPr>
        <w:color w:val="000000"/>
      </w:rPr>
      <w:fldChar w:fldCharType="end"/>
    </w:r>
  </w:p>
  <w:p w14:paraId="411FB667" w14:textId="77777777" w:rsidR="00C7379E" w:rsidRDefault="00066C93">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 xml:space="preserve">DPS Ref: </w:t>
    </w:r>
    <w:r>
      <w:rPr>
        <w:rFonts w:ascii="Arial" w:eastAsia="Arial" w:hAnsi="Arial" w:cs="Arial"/>
      </w:rPr>
      <w:t>RM6219 Learning and Training</w:t>
    </w:r>
  </w:p>
  <w:p w14:paraId="411FB668" w14:textId="77777777" w:rsidR="00C7379E" w:rsidRDefault="00066C93">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Project Version: 1.0</w:t>
    </w:r>
  </w:p>
  <w:p w14:paraId="411FB669" w14:textId="77777777" w:rsidR="00C7379E" w:rsidRDefault="00066C93">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Model Version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FB65F" w14:textId="77777777" w:rsidR="00066C93" w:rsidRDefault="00066C93">
      <w:pPr>
        <w:spacing w:after="0" w:line="240" w:lineRule="auto"/>
      </w:pPr>
      <w:r>
        <w:separator/>
      </w:r>
    </w:p>
  </w:footnote>
  <w:footnote w:type="continuationSeparator" w:id="0">
    <w:p w14:paraId="411FB660" w14:textId="77777777" w:rsidR="00066C93" w:rsidRDefault="00066C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FB663" w14:textId="77777777" w:rsidR="00C7379E" w:rsidRDefault="00066C93">
    <w:pPr>
      <w:pBdr>
        <w:top w:val="nil"/>
        <w:left w:val="nil"/>
        <w:bottom w:val="nil"/>
        <w:right w:val="nil"/>
        <w:between w:val="nil"/>
      </w:pBdr>
      <w:tabs>
        <w:tab w:val="center" w:pos="4513"/>
        <w:tab w:val="right" w:pos="9026"/>
      </w:tabs>
      <w:spacing w:after="0" w:line="240" w:lineRule="auto"/>
      <w:rPr>
        <w:rFonts w:ascii="Arial" w:eastAsia="Arial" w:hAnsi="Arial" w:cs="Arial"/>
        <w:b/>
        <w:color w:val="000000"/>
      </w:rPr>
    </w:pPr>
    <w:r>
      <w:rPr>
        <w:rFonts w:ascii="Arial" w:eastAsia="Arial" w:hAnsi="Arial" w:cs="Arial"/>
        <w:b/>
        <w:color w:val="000000"/>
      </w:rPr>
      <w:t>Joint Schedule 12 (Supply Chain Visibility)</w:t>
    </w:r>
  </w:p>
  <w:p w14:paraId="411FB664" w14:textId="77777777" w:rsidR="00C7379E" w:rsidRDefault="00066C93">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Crown Copyright 20</w:t>
    </w:r>
    <w:r>
      <w:rPr>
        <w:rFonts w:ascii="Arial" w:eastAsia="Arial" w:hAnsi="Arial" w:cs="Arial"/>
      </w:rPr>
      <w:t>21</w:t>
    </w:r>
  </w:p>
  <w:p w14:paraId="411FB665" w14:textId="77777777" w:rsidR="00C7379E" w:rsidRDefault="00C7379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9875D5"/>
    <w:multiLevelType w:val="multilevel"/>
    <w:tmpl w:val="761ECE3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 w15:restartNumberingAfterBreak="0">
    <w:nsid w:val="75127B8F"/>
    <w:multiLevelType w:val="multilevel"/>
    <w:tmpl w:val="CB10C6D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1738476814">
    <w:abstractNumId w:val="1"/>
  </w:num>
  <w:num w:numId="2" w16cid:durableId="1427468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379E"/>
    <w:rsid w:val="00066C93"/>
    <w:rsid w:val="00117F31"/>
    <w:rsid w:val="00867946"/>
    <w:rsid w:val="00C7379E"/>
    <w:rsid w:val="00DE46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11FB627"/>
  <w15:docId w15:val="{3A327F22-0330-46E3-9AB4-74F28C347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rsid w:val="004305DC"/>
    <w:pPr>
      <w:ind w:left="720"/>
      <w:contextualSpacing/>
    </w:pPr>
  </w:style>
  <w:style w:type="paragraph" w:customStyle="1" w:styleId="Sectionheading">
    <w:name w:val="Section heading"/>
    <w:basedOn w:val="Normal"/>
    <w:rsid w:val="001B27C3"/>
    <w:pPr>
      <w:suppressAutoHyphens/>
      <w:spacing w:after="0" w:line="360" w:lineRule="auto"/>
      <w:jc w:val="both"/>
    </w:pPr>
    <w:rPr>
      <w:rFonts w:ascii="Times New Roman" w:eastAsia="Times New Roman" w:hAnsi="Times New Roman" w:cs="Times New Roman"/>
      <w:b/>
      <w:bCs/>
      <w:sz w:val="24"/>
      <w:szCs w:val="24"/>
      <w:u w:val="single"/>
    </w:rPr>
  </w:style>
  <w:style w:type="paragraph" w:styleId="Header">
    <w:name w:val="header"/>
    <w:basedOn w:val="Normal"/>
    <w:link w:val="HeaderChar"/>
    <w:uiPriority w:val="99"/>
    <w:unhideWhenUsed/>
    <w:rsid w:val="009D7C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7CF0"/>
  </w:style>
  <w:style w:type="paragraph" w:styleId="Footer">
    <w:name w:val="footer"/>
    <w:basedOn w:val="Normal"/>
    <w:link w:val="FooterChar"/>
    <w:uiPriority w:val="99"/>
    <w:unhideWhenUsed/>
    <w:rsid w:val="009D7C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7CF0"/>
  </w:style>
  <w:style w:type="paragraph" w:customStyle="1" w:styleId="GPSL2Numbered">
    <w:name w:val="GPS L2 Numbered"/>
    <w:basedOn w:val="Normal"/>
    <w:link w:val="GPSL2NumberedChar"/>
    <w:qFormat/>
    <w:rsid w:val="0042661A"/>
    <w:pPr>
      <w:tabs>
        <w:tab w:val="left" w:pos="709"/>
        <w:tab w:val="left" w:pos="1134"/>
      </w:tabs>
      <w:adjustRightInd w:val="0"/>
      <w:spacing w:before="120" w:after="120" w:line="240" w:lineRule="auto"/>
      <w:ind w:hanging="360"/>
      <w:jc w:val="both"/>
    </w:pPr>
    <w:rPr>
      <w:rFonts w:eastAsia="Times New Roman" w:cs="Arial"/>
      <w:lang w:eastAsia="zh-CN"/>
    </w:rPr>
  </w:style>
  <w:style w:type="character" w:customStyle="1" w:styleId="GPSL2NumberedChar">
    <w:name w:val="GPS L2 Numbered Char"/>
    <w:link w:val="GPSL2Numbered"/>
    <w:locked/>
    <w:rsid w:val="0042661A"/>
    <w:rPr>
      <w:rFonts w:ascii="Calibri" w:eastAsia="Times New Roman" w:hAnsi="Calibri" w:cs="Arial"/>
      <w:lang w:eastAsia="zh-CN"/>
    </w:rPr>
  </w:style>
  <w:style w:type="table" w:styleId="TableGrid">
    <w:name w:val="Table Grid"/>
    <w:basedOn w:val="TableNormal"/>
    <w:uiPriority w:val="59"/>
    <w:rsid w:val="004266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drbH6O+yh5fj2f7LQlK7IszvuxQ==">AMUW2mWdO3gLHMmf0nDu4oYajoKQS3VrJJ8ZtjmeeUQFZKIySuCsWoi3eCeC+yZ8b4DFyXMmHx9zXTX8nSTonOR/YtTQQ+A4CgaN5x6huugO9l3/EvIoyFBrzHGIg1uYT2jxE46s/kPR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577</Words>
  <Characters>3293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Nana Bowen</dc:creator>
  <cp:lastModifiedBy>Irvine Roy AWE</cp:lastModifiedBy>
  <cp:revision>2</cp:revision>
  <dcterms:created xsi:type="dcterms:W3CDTF">2025-06-06T07:15:00Z</dcterms:created>
  <dcterms:modified xsi:type="dcterms:W3CDTF">2025-06-06T07:15:00Z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fcbf6d0-03b3-4cea-b8dd-cbea814921e4_Enabled">
    <vt:lpwstr>true</vt:lpwstr>
  </property>
  <property fmtid="{D5CDD505-2E9C-101B-9397-08002B2CF9AE}" pid="3" name="MSIP_Label_bfcbf6d0-03b3-4cea-b8dd-cbea814921e4_SetDate">
    <vt:lpwstr>2025-06-06T07:15:50Z</vt:lpwstr>
  </property>
  <property fmtid="{D5CDD505-2E9C-101B-9397-08002B2CF9AE}" pid="4" name="MSIP_Label_bfcbf6d0-03b3-4cea-b8dd-cbea814921e4_Method">
    <vt:lpwstr>Standard</vt:lpwstr>
  </property>
  <property fmtid="{D5CDD505-2E9C-101B-9397-08002B2CF9AE}" pid="5" name="MSIP_Label_bfcbf6d0-03b3-4cea-b8dd-cbea814921e4_Name">
    <vt:lpwstr>GENERAL</vt:lpwstr>
  </property>
  <property fmtid="{D5CDD505-2E9C-101B-9397-08002B2CF9AE}" pid="6" name="MSIP_Label_bfcbf6d0-03b3-4cea-b8dd-cbea814921e4_SiteId">
    <vt:lpwstr>72654b74-be02-4361-a627-16b132e3fdd0</vt:lpwstr>
  </property>
  <property fmtid="{D5CDD505-2E9C-101B-9397-08002B2CF9AE}" pid="7" name="MSIP_Label_bfcbf6d0-03b3-4cea-b8dd-cbea814921e4_ActionId">
    <vt:lpwstr>ff2b05cb-6f39-4c38-a6f0-c8eca11fabcc</vt:lpwstr>
  </property>
  <property fmtid="{D5CDD505-2E9C-101B-9397-08002B2CF9AE}" pid="8" name="MSIP_Label_bfcbf6d0-03b3-4cea-b8dd-cbea814921e4_ContentBits">
    <vt:lpwstr>0</vt:lpwstr>
  </property>
</Properties>
</file>